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D6" w:rsidRDefault="00AB4AD6" w:rsidP="00D7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74A" w:rsidRPr="00607848" w:rsidRDefault="00D7574A" w:rsidP="00D7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AD6">
        <w:rPr>
          <w:rFonts w:ascii="Times New Roman" w:hAnsi="Times New Roman" w:cs="Times New Roman"/>
          <w:b/>
          <w:sz w:val="24"/>
          <w:szCs w:val="24"/>
        </w:rPr>
        <w:t xml:space="preserve">The key to unlock the door to best practice in the areas of Behavioral Health, Primary Care, Social Services, Public Health and Criminal Justice is the </w:t>
      </w:r>
      <w:r w:rsidR="00AB4AD6" w:rsidRPr="00AB4AD6">
        <w:rPr>
          <w:rFonts w:ascii="Times New Roman" w:hAnsi="Times New Roman" w:cs="Times New Roman"/>
          <w:b/>
          <w:sz w:val="24"/>
          <w:szCs w:val="24"/>
        </w:rPr>
        <w:t>bridging</w:t>
      </w:r>
      <w:r w:rsidRPr="00AB4AD6">
        <w:rPr>
          <w:rFonts w:ascii="Times New Roman" w:hAnsi="Times New Roman" w:cs="Times New Roman"/>
          <w:b/>
          <w:sz w:val="24"/>
          <w:szCs w:val="24"/>
        </w:rPr>
        <w:t xml:space="preserve"> of clinical and community collaboration to achieve collective impact</w:t>
      </w:r>
      <w:r w:rsidRPr="00607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74A" w:rsidRDefault="00D7574A" w:rsidP="00D7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D6" w:rsidRPr="00607848" w:rsidRDefault="00AB4AD6" w:rsidP="00D7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4A" w:rsidRDefault="00D7574A" w:rsidP="00D7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48">
        <w:rPr>
          <w:rFonts w:ascii="Times New Roman" w:hAnsi="Times New Roman" w:cs="Times New Roman"/>
          <w:sz w:val="24"/>
          <w:szCs w:val="24"/>
        </w:rPr>
        <w:t xml:space="preserve">As a result of the Affordable Care Act, and the many federal and state initiatives, there is a </w:t>
      </w:r>
      <w:r w:rsidRPr="002B57F5">
        <w:rPr>
          <w:rFonts w:ascii="Times New Roman" w:hAnsi="Times New Roman" w:cs="Times New Roman"/>
          <w:sz w:val="24"/>
          <w:szCs w:val="24"/>
          <w:highlight w:val="yellow"/>
        </w:rPr>
        <w:t xml:space="preserve">great push to </w:t>
      </w:r>
      <w:r w:rsidR="00607848" w:rsidRPr="002B57F5">
        <w:rPr>
          <w:rFonts w:ascii="Times New Roman" w:hAnsi="Times New Roman" w:cs="Times New Roman"/>
          <w:sz w:val="24"/>
          <w:szCs w:val="24"/>
          <w:highlight w:val="yellow"/>
        </w:rPr>
        <w:t>improve the usual care practices through the integration of</w:t>
      </w:r>
      <w:r w:rsidRPr="002B57F5">
        <w:rPr>
          <w:rFonts w:ascii="Times New Roman" w:hAnsi="Times New Roman" w:cs="Times New Roman"/>
          <w:sz w:val="24"/>
          <w:szCs w:val="24"/>
          <w:highlight w:val="yellow"/>
        </w:rPr>
        <w:t xml:space="preserve"> services across all human services do</w:t>
      </w:r>
      <w:r w:rsidR="00607848" w:rsidRPr="002B57F5">
        <w:rPr>
          <w:rFonts w:ascii="Times New Roman" w:hAnsi="Times New Roman" w:cs="Times New Roman"/>
          <w:sz w:val="24"/>
          <w:szCs w:val="24"/>
          <w:highlight w:val="yellow"/>
        </w:rPr>
        <w:t>mains.</w:t>
      </w:r>
      <w:r w:rsidR="00607848" w:rsidRPr="00607848">
        <w:rPr>
          <w:rFonts w:ascii="Times New Roman" w:hAnsi="Times New Roman" w:cs="Times New Roman"/>
          <w:sz w:val="24"/>
          <w:szCs w:val="24"/>
        </w:rPr>
        <w:t xml:space="preserve"> This is seen as a way not only to improve the health and well-being of the general population but it is particularly effective in dealing with our county citizens with complex health, psychological, addiction and criminal justice issues.    As a result of this push for maximum collaboration, coordination and sharing of information, </w:t>
      </w:r>
      <w:r w:rsidR="00607848" w:rsidRPr="002B57F5">
        <w:rPr>
          <w:rFonts w:ascii="Times New Roman" w:hAnsi="Times New Roman" w:cs="Times New Roman"/>
          <w:sz w:val="24"/>
          <w:szCs w:val="24"/>
          <w:highlight w:val="yellow"/>
        </w:rPr>
        <w:t>the expectation is that the community as a whole can significantly impact both health care outcomes and the cost of services.</w:t>
      </w:r>
      <w:r w:rsidR="00607848" w:rsidRPr="006078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848" w:rsidRDefault="00607848" w:rsidP="00D7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4A" w:rsidRDefault="00634822" w:rsidP="00D7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work group made up of</w:t>
      </w:r>
      <w:r w:rsidR="00607848">
        <w:rPr>
          <w:rFonts w:ascii="Times New Roman" w:hAnsi="Times New Roman" w:cs="Times New Roman"/>
          <w:sz w:val="24"/>
          <w:szCs w:val="24"/>
        </w:rPr>
        <w:t xml:space="preserve"> leaders in the community representing the Superior Court, District Attorney, Sheriff’s Department, Behavioral Health</w:t>
      </w:r>
      <w:r>
        <w:rPr>
          <w:rFonts w:ascii="Times New Roman" w:hAnsi="Times New Roman" w:cs="Times New Roman"/>
          <w:sz w:val="24"/>
          <w:szCs w:val="24"/>
        </w:rPr>
        <w:t xml:space="preserve"> Department</w:t>
      </w:r>
      <w:r w:rsidR="00607848">
        <w:rPr>
          <w:rFonts w:ascii="Times New Roman" w:hAnsi="Times New Roman" w:cs="Times New Roman"/>
          <w:sz w:val="24"/>
          <w:szCs w:val="24"/>
        </w:rPr>
        <w:t>, Health Department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82F">
        <w:rPr>
          <w:rFonts w:ascii="Times New Roman" w:hAnsi="Times New Roman" w:cs="Times New Roman"/>
          <w:b/>
          <w:sz w:val="24"/>
          <w:szCs w:val="24"/>
        </w:rPr>
        <w:t>Plumas Regional Hospital</w:t>
      </w:r>
      <w:r w:rsidR="00E4082F" w:rsidRPr="00E4082F">
        <w:rPr>
          <w:rFonts w:ascii="Times New Roman" w:hAnsi="Times New Roman" w:cs="Times New Roman"/>
          <w:b/>
          <w:sz w:val="24"/>
          <w:szCs w:val="24"/>
        </w:rPr>
        <w:t>s</w:t>
      </w:r>
      <w:r w:rsidRPr="00E4082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Probation Department with hopefully others to join, has begun </w:t>
      </w:r>
      <w:r w:rsidRPr="002B57F5">
        <w:rPr>
          <w:rFonts w:ascii="Times New Roman" w:hAnsi="Times New Roman" w:cs="Times New Roman"/>
          <w:sz w:val="24"/>
          <w:szCs w:val="24"/>
          <w:highlight w:val="yellow"/>
        </w:rPr>
        <w:t>an initiative to actively learn about best practices in this area and ride the wave of funding to a system of better results for all residents of Plumas County</w:t>
      </w:r>
      <w:r>
        <w:rPr>
          <w:rFonts w:ascii="Times New Roman" w:hAnsi="Times New Roman" w:cs="Times New Roman"/>
          <w:sz w:val="24"/>
          <w:szCs w:val="24"/>
        </w:rPr>
        <w:t xml:space="preserve">, particularly those most in need and who are frequently trapped in a revolving door of mental illness, incarceration, poor health, homelessness and despair.  </w:t>
      </w:r>
    </w:p>
    <w:p w:rsidR="00634822" w:rsidRDefault="00634822" w:rsidP="00D7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4A" w:rsidRDefault="00634822" w:rsidP="0063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1">
        <w:rPr>
          <w:rFonts w:ascii="Times New Roman" w:hAnsi="Times New Roman" w:cs="Times New Roman"/>
          <w:sz w:val="24"/>
          <w:szCs w:val="24"/>
        </w:rPr>
        <w:t xml:space="preserve">Behavioral Health is in the midst of a </w:t>
      </w:r>
      <w:r w:rsidRPr="002B57F5">
        <w:rPr>
          <w:rFonts w:ascii="Times New Roman" w:hAnsi="Times New Roman" w:cs="Times New Roman"/>
          <w:b/>
          <w:sz w:val="24"/>
          <w:szCs w:val="24"/>
        </w:rPr>
        <w:t xml:space="preserve">community assessment as part of the </w:t>
      </w:r>
      <w:r w:rsidR="001D3FB1" w:rsidRPr="002B57F5">
        <w:rPr>
          <w:rFonts w:ascii="Times New Roman" w:hAnsi="Times New Roman" w:cs="Times New Roman"/>
          <w:b/>
          <w:sz w:val="24"/>
          <w:szCs w:val="24"/>
        </w:rPr>
        <w:t xml:space="preserve">3 year </w:t>
      </w:r>
      <w:r w:rsidRPr="002B57F5">
        <w:rPr>
          <w:rFonts w:ascii="Times New Roman" w:hAnsi="Times New Roman" w:cs="Times New Roman"/>
          <w:b/>
          <w:sz w:val="24"/>
          <w:szCs w:val="24"/>
        </w:rPr>
        <w:t>MHSA cycle,</w:t>
      </w:r>
      <w:r w:rsidRPr="001D3FB1">
        <w:rPr>
          <w:rFonts w:ascii="Times New Roman" w:hAnsi="Times New Roman" w:cs="Times New Roman"/>
          <w:sz w:val="24"/>
          <w:szCs w:val="24"/>
        </w:rPr>
        <w:t xml:space="preserve"> the </w:t>
      </w:r>
      <w:r w:rsidRPr="002B57F5">
        <w:rPr>
          <w:rFonts w:ascii="Times New Roman" w:hAnsi="Times New Roman" w:cs="Times New Roman"/>
          <w:b/>
          <w:sz w:val="24"/>
          <w:szCs w:val="24"/>
        </w:rPr>
        <w:t>Health Department is completing their Community Health Assessment</w:t>
      </w:r>
      <w:r w:rsidRPr="001D3FB1">
        <w:rPr>
          <w:rFonts w:ascii="Times New Roman" w:hAnsi="Times New Roman" w:cs="Times New Roman"/>
          <w:sz w:val="24"/>
          <w:szCs w:val="24"/>
        </w:rPr>
        <w:t xml:space="preserve">, and three </w:t>
      </w:r>
      <w:r w:rsidRPr="002B57F5">
        <w:rPr>
          <w:rFonts w:ascii="Times New Roman" w:hAnsi="Times New Roman" w:cs="Times New Roman"/>
          <w:b/>
          <w:sz w:val="24"/>
          <w:szCs w:val="24"/>
        </w:rPr>
        <w:t>Hospital Districts have received Prime Grants</w:t>
      </w:r>
      <w:r w:rsidRPr="001D3FB1">
        <w:rPr>
          <w:rFonts w:ascii="Times New Roman" w:hAnsi="Times New Roman" w:cs="Times New Roman"/>
          <w:sz w:val="24"/>
          <w:szCs w:val="24"/>
        </w:rPr>
        <w:t xml:space="preserve"> to address specific identified needs in their </w:t>
      </w:r>
      <w:r w:rsidR="001D3FB1" w:rsidRPr="001D3FB1">
        <w:rPr>
          <w:rFonts w:ascii="Times New Roman" w:hAnsi="Times New Roman" w:cs="Times New Roman"/>
          <w:sz w:val="24"/>
          <w:szCs w:val="24"/>
        </w:rPr>
        <w:t>communities</w:t>
      </w:r>
      <w:r w:rsidRPr="001D3FB1">
        <w:rPr>
          <w:rFonts w:ascii="Times New Roman" w:hAnsi="Times New Roman" w:cs="Times New Roman"/>
          <w:sz w:val="24"/>
          <w:szCs w:val="24"/>
        </w:rPr>
        <w:t xml:space="preserve">.  </w:t>
      </w:r>
      <w:r w:rsidR="001D3FB1" w:rsidRPr="001D3FB1">
        <w:rPr>
          <w:rFonts w:ascii="Times New Roman" w:hAnsi="Times New Roman" w:cs="Times New Roman"/>
          <w:sz w:val="24"/>
          <w:szCs w:val="24"/>
        </w:rPr>
        <w:t xml:space="preserve">We have an award winning coordination of services effort in the </w:t>
      </w:r>
      <w:r w:rsidR="001D3FB1" w:rsidRPr="00E4082F">
        <w:rPr>
          <w:rFonts w:ascii="Times New Roman" w:hAnsi="Times New Roman" w:cs="Times New Roman"/>
          <w:b/>
          <w:sz w:val="24"/>
          <w:szCs w:val="24"/>
        </w:rPr>
        <w:t>20,000 Lives</w:t>
      </w:r>
      <w:r w:rsidR="001D3FB1" w:rsidRPr="001D3FB1">
        <w:rPr>
          <w:rFonts w:ascii="Times New Roman" w:hAnsi="Times New Roman" w:cs="Times New Roman"/>
          <w:sz w:val="24"/>
          <w:szCs w:val="24"/>
        </w:rPr>
        <w:t xml:space="preserve"> collaboration and an excellent way for every citizen to become involved through the </w:t>
      </w:r>
      <w:r w:rsidR="001D3FB1" w:rsidRPr="00E4082F">
        <w:rPr>
          <w:rFonts w:ascii="Times New Roman" w:hAnsi="Times New Roman" w:cs="Times New Roman"/>
          <w:b/>
          <w:sz w:val="24"/>
          <w:szCs w:val="24"/>
        </w:rPr>
        <w:t>Community Connections</w:t>
      </w:r>
      <w:r w:rsidR="001D3FB1" w:rsidRPr="001D3FB1">
        <w:rPr>
          <w:rFonts w:ascii="Times New Roman" w:hAnsi="Times New Roman" w:cs="Times New Roman"/>
          <w:sz w:val="24"/>
          <w:szCs w:val="24"/>
        </w:rPr>
        <w:t xml:space="preserve"> program.  </w:t>
      </w:r>
      <w:r w:rsidR="001D3FB1">
        <w:rPr>
          <w:rFonts w:ascii="Times New Roman" w:hAnsi="Times New Roman" w:cs="Times New Roman"/>
          <w:sz w:val="24"/>
          <w:szCs w:val="24"/>
        </w:rPr>
        <w:t xml:space="preserve">Regardless of the mechanism, we as a community need a thorough understanding of the needs in our county, a catalogue of available resources in our communities, </w:t>
      </w:r>
      <w:r w:rsidR="001D3FB1" w:rsidRPr="001D3FB1">
        <w:rPr>
          <w:rFonts w:ascii="Times New Roman" w:hAnsi="Times New Roman" w:cs="Times New Roman"/>
          <w:sz w:val="24"/>
          <w:szCs w:val="24"/>
        </w:rPr>
        <w:t>along with a clear, focused program to direct the</w:t>
      </w:r>
      <w:r w:rsidR="001D3FB1">
        <w:rPr>
          <w:rFonts w:ascii="Times New Roman" w:hAnsi="Times New Roman" w:cs="Times New Roman"/>
          <w:sz w:val="24"/>
          <w:szCs w:val="24"/>
        </w:rPr>
        <w:t xml:space="preserve"> collaborative efforts of any and all who choose to be a part of what could be a monumental shift in the delivery of services to the most challenged of our residents.</w:t>
      </w:r>
      <w:r w:rsidR="001D3FB1" w:rsidRPr="001D3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82F" w:rsidRDefault="00E4082F" w:rsidP="0063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F5" w:rsidRDefault="002B57F5" w:rsidP="00E4082F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8A180E"/>
          <w:sz w:val="30"/>
          <w:szCs w:val="30"/>
          <w:lang w:val="en"/>
        </w:rPr>
      </w:pPr>
    </w:p>
    <w:p w:rsidR="002B57F5" w:rsidRDefault="002B57F5" w:rsidP="00E4082F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8A180E"/>
          <w:sz w:val="30"/>
          <w:szCs w:val="30"/>
          <w:lang w:val="en"/>
        </w:rPr>
      </w:pPr>
    </w:p>
    <w:p w:rsidR="002B57F5" w:rsidRDefault="002B57F5" w:rsidP="00E4082F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8A180E"/>
          <w:sz w:val="30"/>
          <w:szCs w:val="30"/>
          <w:lang w:val="en"/>
        </w:rPr>
      </w:pPr>
    </w:p>
    <w:p w:rsidR="00116415" w:rsidRDefault="00E4082F" w:rsidP="00E4082F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8A180E"/>
          <w:sz w:val="30"/>
          <w:szCs w:val="30"/>
          <w:lang w:val="en"/>
        </w:rPr>
      </w:pPr>
      <w:bookmarkStart w:id="0" w:name="_GoBack"/>
      <w:bookmarkEnd w:id="0"/>
      <w:r w:rsidRPr="00E4082F">
        <w:rPr>
          <w:rFonts w:ascii="Tahoma" w:eastAsia="Times New Roman" w:hAnsi="Tahoma" w:cs="Tahoma"/>
          <w:b/>
          <w:bCs/>
          <w:color w:val="8A180E"/>
          <w:sz w:val="30"/>
          <w:szCs w:val="30"/>
          <w:lang w:val="en"/>
        </w:rPr>
        <w:t>What Are t</w:t>
      </w:r>
      <w:r w:rsidR="00116415">
        <w:rPr>
          <w:rFonts w:ascii="Tahoma" w:eastAsia="Times New Roman" w:hAnsi="Tahoma" w:cs="Tahoma"/>
          <w:b/>
          <w:bCs/>
          <w:color w:val="8A180E"/>
          <w:sz w:val="30"/>
          <w:szCs w:val="30"/>
          <w:lang w:val="en"/>
        </w:rPr>
        <w:t>he Eight Dimensions of Wellness</w:t>
      </w:r>
    </w:p>
    <w:p w:rsidR="00116415" w:rsidRPr="00E4082F" w:rsidRDefault="00116415" w:rsidP="00E4082F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8A180E"/>
          <w:sz w:val="30"/>
          <w:szCs w:val="30"/>
          <w:lang w:val="en"/>
        </w:rPr>
      </w:pPr>
    </w:p>
    <w:p w:rsidR="00E4082F" w:rsidRPr="00E4082F" w:rsidRDefault="00E4082F" w:rsidP="00E40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 xml:space="preserve">Learning about the Eight Dimensions of Wellness can help you choose how to make wellness a part of your everyday life. </w:t>
      </w:r>
      <w:hyperlink r:id="rId7" w:tooltip="Wellness Strategies" w:history="1">
        <w:r w:rsidRPr="00E4082F">
          <w:rPr>
            <w:rFonts w:ascii="Times New Roman" w:eastAsia="Times New Roman" w:hAnsi="Times New Roman" w:cs="Times New Roman"/>
            <w:color w:val="003399"/>
            <w:sz w:val="21"/>
            <w:szCs w:val="21"/>
            <w:u w:val="single"/>
            <w:lang w:val="en"/>
          </w:rPr>
          <w:t>Wellness strategies</w:t>
        </w:r>
      </w:hyperlink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 xml:space="preserve"> are practical ways to start developing healthy habits that can have a positive impact on your physical and mental health.</w:t>
      </w:r>
    </w:p>
    <w:p w:rsidR="00E4082F" w:rsidRPr="00E4082F" w:rsidRDefault="00E4082F" w:rsidP="00E40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The Eight Dimensions of Wellness are:</w:t>
      </w:r>
    </w:p>
    <w:p w:rsidR="00E4082F" w:rsidRPr="00E4082F" w:rsidRDefault="00E4082F" w:rsidP="00E40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b/>
          <w:bCs/>
          <w:color w:val="000000"/>
          <w:sz w:val="21"/>
          <w:szCs w:val="21"/>
          <w:lang w:val="en"/>
        </w:rPr>
        <w:lastRenderedPageBreak/>
        <w:t>Emotional</w:t>
      </w: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—Coping effectively with life and creating satisfying relationships</w:t>
      </w:r>
    </w:p>
    <w:p w:rsidR="00E4082F" w:rsidRPr="00E4082F" w:rsidRDefault="00E4082F" w:rsidP="00E40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b/>
          <w:bCs/>
          <w:color w:val="000000"/>
          <w:sz w:val="21"/>
          <w:szCs w:val="21"/>
          <w:lang w:val="en"/>
        </w:rPr>
        <w:t>Environmental</w:t>
      </w: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—Good health by occupying pleasant, stimulating environments that support well-being</w:t>
      </w:r>
    </w:p>
    <w:p w:rsidR="00E4082F" w:rsidRPr="00E4082F" w:rsidRDefault="00E4082F" w:rsidP="00E40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b/>
          <w:bCs/>
          <w:color w:val="000000"/>
          <w:sz w:val="21"/>
          <w:szCs w:val="21"/>
          <w:lang w:val="en"/>
        </w:rPr>
        <w:t>Financial</w:t>
      </w: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—Satisfaction with current and future financial situations</w:t>
      </w:r>
    </w:p>
    <w:p w:rsidR="00E4082F" w:rsidRPr="00E4082F" w:rsidRDefault="00E4082F" w:rsidP="00E40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b/>
          <w:bCs/>
          <w:color w:val="000000"/>
          <w:sz w:val="21"/>
          <w:szCs w:val="21"/>
          <w:lang w:val="en"/>
        </w:rPr>
        <w:t>Intellectual</w:t>
      </w: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—Recognizing creative abilities and finding ways to expand knowledge and skills</w:t>
      </w:r>
    </w:p>
    <w:p w:rsidR="00E4082F" w:rsidRPr="00E4082F" w:rsidRDefault="00E4082F" w:rsidP="00E40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b/>
          <w:bCs/>
          <w:color w:val="000000"/>
          <w:sz w:val="21"/>
          <w:szCs w:val="21"/>
          <w:lang w:val="en"/>
        </w:rPr>
        <w:t>Occupational</w:t>
      </w: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—Personal satisfaction and enrichment from one’s work</w:t>
      </w:r>
    </w:p>
    <w:p w:rsidR="00E4082F" w:rsidRPr="00E4082F" w:rsidRDefault="00E4082F" w:rsidP="00E40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b/>
          <w:bCs/>
          <w:color w:val="000000"/>
          <w:sz w:val="21"/>
          <w:szCs w:val="21"/>
          <w:lang w:val="en"/>
        </w:rPr>
        <w:t>Physical</w:t>
      </w: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—Recognizing the need for physical activity, healthy foods, and sleep</w:t>
      </w:r>
    </w:p>
    <w:p w:rsidR="00E4082F" w:rsidRPr="00E4082F" w:rsidRDefault="00E4082F" w:rsidP="00E40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b/>
          <w:bCs/>
          <w:color w:val="000000"/>
          <w:sz w:val="21"/>
          <w:szCs w:val="21"/>
          <w:lang w:val="en"/>
        </w:rPr>
        <w:t>Social</w:t>
      </w: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—Developing a sense of connection, belonging, and a well-developed support system</w:t>
      </w:r>
    </w:p>
    <w:p w:rsidR="00E4082F" w:rsidRPr="00E4082F" w:rsidRDefault="00E4082F" w:rsidP="00E40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val="en"/>
        </w:rPr>
      </w:pPr>
      <w:r w:rsidRPr="00E4082F">
        <w:rPr>
          <w:rFonts w:ascii="Tahoma" w:eastAsia="Times New Roman" w:hAnsi="Tahoma" w:cs="Tahoma"/>
          <w:b/>
          <w:bCs/>
          <w:color w:val="000000"/>
          <w:sz w:val="21"/>
          <w:szCs w:val="21"/>
          <w:lang w:val="en"/>
        </w:rPr>
        <w:t>Spiritual</w:t>
      </w:r>
      <w:r w:rsidRPr="00E4082F">
        <w:rPr>
          <w:rFonts w:ascii="Tahoma" w:eastAsia="Times New Roman" w:hAnsi="Tahoma" w:cs="Tahoma"/>
          <w:color w:val="000000"/>
          <w:sz w:val="21"/>
          <w:szCs w:val="21"/>
          <w:lang w:val="en"/>
        </w:rPr>
        <w:t>—Expanding a sense of purpose and meaning in life</w:t>
      </w:r>
    </w:p>
    <w:p w:rsidR="00E4082F" w:rsidRPr="001D3FB1" w:rsidRDefault="00116415" w:rsidP="0011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CC5F90" wp14:editId="2B7AEF81">
            <wp:extent cx="5181600" cy="5181600"/>
            <wp:effectExtent l="0" t="0" r="0" b="0"/>
            <wp:docPr id="2" name="Picture 2" descr="http://www.samhsa.gov/sites/default/files/images/wellness_wheel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mhsa.gov/sites/default/files/images/wellness_wheel-engli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82F" w:rsidRPr="001D3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EF" w:rsidRDefault="00BA0FEF" w:rsidP="00D7574A">
      <w:pPr>
        <w:spacing w:after="0" w:line="240" w:lineRule="auto"/>
      </w:pPr>
      <w:r>
        <w:separator/>
      </w:r>
    </w:p>
  </w:endnote>
  <w:endnote w:type="continuationSeparator" w:id="0">
    <w:p w:rsidR="00BA0FEF" w:rsidRDefault="00BA0FEF" w:rsidP="00D7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D6" w:rsidRDefault="00AB4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D6" w:rsidRDefault="00AB4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D6" w:rsidRDefault="00AB4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EF" w:rsidRDefault="00BA0FEF" w:rsidP="00D7574A">
      <w:pPr>
        <w:spacing w:after="0" w:line="240" w:lineRule="auto"/>
      </w:pPr>
      <w:r>
        <w:separator/>
      </w:r>
    </w:p>
  </w:footnote>
  <w:footnote w:type="continuationSeparator" w:id="0">
    <w:p w:rsidR="00BA0FEF" w:rsidRDefault="00BA0FEF" w:rsidP="00D7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D6" w:rsidRDefault="00AB4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4A" w:rsidRPr="00D7574A" w:rsidRDefault="00D7574A" w:rsidP="00D7574A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333333"/>
        <w:sz w:val="36"/>
        <w:szCs w:val="36"/>
      </w:rPr>
    </w:pPr>
    <w:r w:rsidRPr="00D7574A">
      <w:rPr>
        <w:rFonts w:ascii="Calibri-Bold" w:hAnsi="Calibri-Bold" w:cs="Calibri-Bold"/>
        <w:b/>
        <w:bCs/>
        <w:color w:val="333333"/>
        <w:sz w:val="36"/>
        <w:szCs w:val="36"/>
      </w:rPr>
      <w:t xml:space="preserve">Behavioral Health Integration </w:t>
    </w:r>
    <w:r w:rsidR="00AB4AD6">
      <w:rPr>
        <w:rFonts w:ascii="Calibri-Bold" w:hAnsi="Calibri-Bold" w:cs="Calibri-Bold"/>
        <w:b/>
        <w:bCs/>
        <w:color w:val="333333"/>
        <w:sz w:val="36"/>
        <w:szCs w:val="36"/>
      </w:rPr>
      <w:t xml:space="preserve">to </w:t>
    </w:r>
    <w:r w:rsidRPr="00D7574A">
      <w:rPr>
        <w:rFonts w:ascii="Calibri-Bold" w:hAnsi="Calibri-Bold" w:cs="Calibri-Bold"/>
        <w:b/>
        <w:bCs/>
        <w:color w:val="333333"/>
        <w:sz w:val="36"/>
        <w:szCs w:val="36"/>
      </w:rPr>
      <w:t>Whole Person 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D6" w:rsidRDefault="00AB4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6678"/>
    <w:multiLevelType w:val="multilevel"/>
    <w:tmpl w:val="9F48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A"/>
    <w:rsid w:val="000D0756"/>
    <w:rsid w:val="00116415"/>
    <w:rsid w:val="001D3FB1"/>
    <w:rsid w:val="002B57F5"/>
    <w:rsid w:val="00607848"/>
    <w:rsid w:val="00634822"/>
    <w:rsid w:val="00AB4AD6"/>
    <w:rsid w:val="00B85048"/>
    <w:rsid w:val="00BA0FEF"/>
    <w:rsid w:val="00D532FA"/>
    <w:rsid w:val="00D7574A"/>
    <w:rsid w:val="00E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9336"/>
  <w15:chartTrackingRefBased/>
  <w15:docId w15:val="{CB7F1370-3086-40D7-ABCE-0C7FB12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4A"/>
  </w:style>
  <w:style w:type="paragraph" w:styleId="Footer">
    <w:name w:val="footer"/>
    <w:basedOn w:val="Normal"/>
    <w:link w:val="FooterChar"/>
    <w:uiPriority w:val="99"/>
    <w:unhideWhenUsed/>
    <w:rsid w:val="00D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289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mhsa.gov/wellness/strateg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Brunson</dc:creator>
  <cp:keywords/>
  <dc:description/>
  <cp:lastModifiedBy>Bob Brunson</cp:lastModifiedBy>
  <cp:revision>4</cp:revision>
  <dcterms:created xsi:type="dcterms:W3CDTF">2016-10-16T15:02:00Z</dcterms:created>
  <dcterms:modified xsi:type="dcterms:W3CDTF">2016-10-16T23:47:00Z</dcterms:modified>
</cp:coreProperties>
</file>